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95CDE" w14:textId="77777777" w:rsidR="009D06C1" w:rsidRDefault="009D06C1" w:rsidP="007D1441">
      <w:pPr>
        <w:rPr>
          <w:b/>
        </w:rPr>
      </w:pPr>
    </w:p>
    <w:p w14:paraId="516C7CC6" w14:textId="7F2D0FE2" w:rsidR="009D06C1" w:rsidRDefault="009D06C1" w:rsidP="00825053">
      <w:pPr>
        <w:rPr>
          <w:b/>
          <w:sz w:val="28"/>
          <w:szCs w:val="28"/>
        </w:rPr>
      </w:pPr>
      <w:r w:rsidRPr="009D06C1">
        <w:rPr>
          <w:b/>
          <w:sz w:val="28"/>
          <w:szCs w:val="28"/>
        </w:rPr>
        <w:t>Dienstvereinb</w:t>
      </w:r>
      <w:r w:rsidR="008B5AE9">
        <w:rPr>
          <w:b/>
          <w:sz w:val="28"/>
          <w:szCs w:val="28"/>
        </w:rPr>
        <w:t>arung nach § 38 (1) Nr. 1 MAVO,</w:t>
      </w:r>
    </w:p>
    <w:p w14:paraId="49FBA6C0" w14:textId="77777777" w:rsidR="009D06C1" w:rsidRPr="009D06C1" w:rsidRDefault="009D06C1" w:rsidP="00825053">
      <w:pPr>
        <w:rPr>
          <w:b/>
          <w:sz w:val="28"/>
          <w:szCs w:val="28"/>
        </w:rPr>
      </w:pPr>
      <w:r w:rsidRPr="009D06C1">
        <w:rPr>
          <w:b/>
          <w:sz w:val="28"/>
          <w:szCs w:val="28"/>
        </w:rPr>
        <w:t>Regelung der Zahlung von Zulagen oder Zuschlägen bei freiwilliger Übernahme zusätzlich betrieblich veranlasster Dienste.</w:t>
      </w:r>
    </w:p>
    <w:p w14:paraId="5638E007" w14:textId="77777777" w:rsidR="009D06C1" w:rsidRDefault="009D06C1" w:rsidP="007D1441">
      <w:pPr>
        <w:rPr>
          <w:b/>
        </w:rPr>
      </w:pPr>
    </w:p>
    <w:p w14:paraId="5EF742EF" w14:textId="77777777" w:rsidR="009C04EB" w:rsidRPr="0061554F" w:rsidRDefault="00411A7A">
      <w:pPr>
        <w:rPr>
          <w:b/>
        </w:rPr>
      </w:pPr>
      <w:r w:rsidRPr="0061554F">
        <w:rPr>
          <w:b/>
        </w:rPr>
        <w:t>§ 1 Gültigkeit</w:t>
      </w:r>
    </w:p>
    <w:p w14:paraId="4ECFB539" w14:textId="77777777" w:rsidR="00B37A04" w:rsidRDefault="0085332E">
      <w:r>
        <w:rPr>
          <w:vertAlign w:val="superscript"/>
        </w:rPr>
        <w:t>1</w:t>
      </w:r>
      <w:r w:rsidR="00411A7A">
        <w:t xml:space="preserve">Diese DV gilt für </w:t>
      </w:r>
      <w:r w:rsidR="00B37A04">
        <w:t>alle</w:t>
      </w:r>
      <w:r w:rsidR="00411A7A">
        <w:t xml:space="preserve"> Mitarbeiter</w:t>
      </w:r>
      <w:r w:rsidR="00B37A04">
        <w:t>, außer denen der Anlage</w:t>
      </w:r>
      <w:r w:rsidR="00411A7A">
        <w:t xml:space="preserve"> </w:t>
      </w:r>
      <w:r w:rsidR="00B37A04">
        <w:t>30</w:t>
      </w:r>
      <w:r w:rsidR="0054412F">
        <w:t xml:space="preserve"> AVR Caritas</w:t>
      </w:r>
      <w:r w:rsidR="00B37A04">
        <w:t>.</w:t>
      </w:r>
      <w:r w:rsidR="00411A7A">
        <w:t xml:space="preserve"> </w:t>
      </w:r>
    </w:p>
    <w:p w14:paraId="116822DA" w14:textId="77777777" w:rsidR="00411A7A" w:rsidRPr="0061554F" w:rsidRDefault="00411A7A">
      <w:pPr>
        <w:rPr>
          <w:b/>
        </w:rPr>
      </w:pPr>
      <w:r w:rsidRPr="0061554F">
        <w:rPr>
          <w:b/>
        </w:rPr>
        <w:t>§ 2 Inhalt</w:t>
      </w:r>
    </w:p>
    <w:p w14:paraId="630DC22F" w14:textId="77777777" w:rsidR="00411A7A" w:rsidRDefault="0085332E">
      <w:r>
        <w:rPr>
          <w:vertAlign w:val="superscript"/>
        </w:rPr>
        <w:t>1</w:t>
      </w:r>
      <w:r w:rsidR="00411A7A" w:rsidRPr="00411A7A">
        <w:t xml:space="preserve">Durch </w:t>
      </w:r>
      <w:r w:rsidR="00411A7A">
        <w:t>diese Dienstvereinbarung</w:t>
      </w:r>
      <w:r w:rsidR="00411A7A" w:rsidRPr="00411A7A">
        <w:t xml:space="preserve"> </w:t>
      </w:r>
      <w:r w:rsidR="00411A7A">
        <w:t>werden für</w:t>
      </w:r>
      <w:r w:rsidR="00411A7A" w:rsidRPr="00411A7A">
        <w:t xml:space="preserve"> die freiwillige Übernahme zusätzlich betrieblich veranlasster Dienste Zulagen oder Zuschläge zusätzlich zum ohnehin gesch</w:t>
      </w:r>
      <w:r w:rsidR="00411A7A">
        <w:t>uldeten Entgelt vereinbart</w:t>
      </w:r>
      <w:r w:rsidR="00411A7A" w:rsidRPr="00411A7A">
        <w:t>.</w:t>
      </w:r>
    </w:p>
    <w:p w14:paraId="21DF7FBC" w14:textId="77777777" w:rsidR="008F35E2" w:rsidRPr="0061554F" w:rsidRDefault="008F35E2">
      <w:pPr>
        <w:rPr>
          <w:b/>
        </w:rPr>
      </w:pPr>
      <w:r w:rsidRPr="0061554F">
        <w:rPr>
          <w:b/>
        </w:rPr>
        <w:t>§ 3 Dienstplan</w:t>
      </w:r>
      <w:bookmarkStart w:id="0" w:name="_GoBack"/>
      <w:bookmarkEnd w:id="0"/>
    </w:p>
    <w:p w14:paraId="1634100A" w14:textId="09DE2F0F" w:rsidR="008F35E2" w:rsidRDefault="0085332E">
      <w:r>
        <w:rPr>
          <w:vertAlign w:val="superscript"/>
        </w:rPr>
        <w:t>1</w:t>
      </w:r>
      <w:r w:rsidR="008F35E2">
        <w:t xml:space="preserve">Grundsätzlich soll ein verbindlicher Dienstplan bis vier Wochen vor Beginn des Dienstplanturnus </w:t>
      </w:r>
      <w:r w:rsidR="00CF473B">
        <w:t xml:space="preserve">den Mitarbeitenden </w:t>
      </w:r>
      <w:r w:rsidR="008F35E2">
        <w:t>vorliegen.</w:t>
      </w:r>
      <w:r w:rsidR="00B17902">
        <w:t xml:space="preserve"> </w:t>
      </w:r>
    </w:p>
    <w:p w14:paraId="665800B5" w14:textId="77777777" w:rsidR="008F35E2" w:rsidRPr="0061554F" w:rsidRDefault="008F35E2">
      <w:pPr>
        <w:rPr>
          <w:b/>
        </w:rPr>
      </w:pPr>
      <w:r w:rsidRPr="0061554F">
        <w:rPr>
          <w:b/>
        </w:rPr>
        <w:t>§ 4 Zuschläge für das erste Einspringen</w:t>
      </w:r>
    </w:p>
    <w:p w14:paraId="59201EFB" w14:textId="77777777" w:rsidR="008F35E2" w:rsidRDefault="0085332E" w:rsidP="00825053">
      <w:r>
        <w:rPr>
          <w:vertAlign w:val="superscript"/>
        </w:rPr>
        <w:t>1</w:t>
      </w:r>
      <w:r w:rsidR="008F35E2">
        <w:t>Bei Abweichungen von der verbindlichen Dienstplanung erhält der Mitarbeiter neben dem Entgelt und den Zeitzuschlägen nach §</w:t>
      </w:r>
      <w:r w:rsidR="007F5973">
        <w:t xml:space="preserve"> 1 der Anlage</w:t>
      </w:r>
      <w:r w:rsidR="008F35E2">
        <w:t xml:space="preserve"> 6a</w:t>
      </w:r>
      <w:r w:rsidR="007F5973">
        <w:t xml:space="preserve"> und § 6 (1) der Anlagen</w:t>
      </w:r>
      <w:r w:rsidR="008F35E2">
        <w:t xml:space="preserve"> 31, 32, 33 </w:t>
      </w:r>
      <w:r w:rsidR="007F5973">
        <w:t xml:space="preserve">AVR Caritas </w:t>
      </w:r>
      <w:r w:rsidR="008F35E2">
        <w:t xml:space="preserve">weitere Zeitzuschläge für sämtliche hiervon </w:t>
      </w:r>
      <w:r w:rsidR="007F5973">
        <w:t xml:space="preserve">betroffenen Arbeitsleistungen. </w:t>
      </w:r>
      <w:r>
        <w:rPr>
          <w:vertAlign w:val="superscript"/>
        </w:rPr>
        <w:t>2</w:t>
      </w:r>
      <w:r w:rsidR="008F35E2">
        <w:t>Die Zeitzuschläge betragen – auch bei teilzeitbeschäftigen Mitarbeitern,</w:t>
      </w:r>
    </w:p>
    <w:p w14:paraId="40516D5B" w14:textId="77777777" w:rsidR="008F35E2" w:rsidRDefault="008F35E2" w:rsidP="007D1441">
      <w:pPr>
        <w:pStyle w:val="Listenabsatz"/>
        <w:numPr>
          <w:ilvl w:val="0"/>
          <w:numId w:val="1"/>
        </w:numPr>
      </w:pPr>
      <w:r w:rsidRPr="008218E1">
        <w:t xml:space="preserve">wenn bis vier Tage vor Arbeitsbeginn eine Änderung des verbindlichen Dienstplans, </w:t>
      </w:r>
      <w:r>
        <w:t>welche</w:t>
      </w:r>
      <w:r w:rsidRPr="008218E1">
        <w:t xml:space="preserve"> die Mitarbeiterin/der Mitarbeiter nicht zu vertreten hat, erfolgt</w:t>
      </w:r>
    </w:p>
    <w:p w14:paraId="0EDD24A9" w14:textId="77777777" w:rsidR="008F35E2" w:rsidRDefault="00C627BA">
      <w:pPr>
        <w:pStyle w:val="Listenabsatz"/>
        <w:numPr>
          <w:ilvl w:val="1"/>
          <w:numId w:val="1"/>
        </w:numPr>
      </w:pPr>
      <w:r>
        <w:t>100</w:t>
      </w:r>
      <w:r w:rsidR="008F35E2">
        <w:t xml:space="preserve"> %</w:t>
      </w:r>
    </w:p>
    <w:p w14:paraId="54D430C0" w14:textId="77777777" w:rsidR="008F35E2" w:rsidRDefault="007F5973">
      <w:pPr>
        <w:pStyle w:val="Listenabsatz"/>
        <w:numPr>
          <w:ilvl w:val="1"/>
          <w:numId w:val="1"/>
        </w:numPr>
      </w:pPr>
      <w:r>
        <w:t xml:space="preserve">am </w:t>
      </w:r>
      <w:r w:rsidR="008F35E2">
        <w:t>Wochenende (Freitag ab 21 Uhr bis Montag 6 Uhr)</w:t>
      </w:r>
      <w:r>
        <w:t xml:space="preserve"> 1</w:t>
      </w:r>
      <w:r w:rsidR="00C627BA">
        <w:t>5</w:t>
      </w:r>
      <w:r>
        <w:t>0%</w:t>
      </w:r>
      <w:r w:rsidR="00243F64">
        <w:t xml:space="preserve"> </w:t>
      </w:r>
    </w:p>
    <w:p w14:paraId="6B5F08EB" w14:textId="77777777" w:rsidR="008F35E2" w:rsidRDefault="007F5973">
      <w:pPr>
        <w:pStyle w:val="Listenabsatz"/>
        <w:numPr>
          <w:ilvl w:val="1"/>
          <w:numId w:val="1"/>
        </w:numPr>
      </w:pPr>
      <w:r>
        <w:t xml:space="preserve">an </w:t>
      </w:r>
      <w:r w:rsidR="008F35E2">
        <w:t>Wochenfeiertage</w:t>
      </w:r>
      <w:r>
        <w:t>n 1</w:t>
      </w:r>
      <w:r w:rsidR="00C627BA">
        <w:t>5</w:t>
      </w:r>
      <w:r>
        <w:t>0 %</w:t>
      </w:r>
    </w:p>
    <w:p w14:paraId="37E6110A" w14:textId="77777777" w:rsidR="008F35E2" w:rsidRDefault="007F5973">
      <w:pPr>
        <w:pStyle w:val="Listenabsatz"/>
        <w:numPr>
          <w:ilvl w:val="1"/>
          <w:numId w:val="1"/>
        </w:numPr>
      </w:pPr>
      <w:r>
        <w:t xml:space="preserve">an </w:t>
      </w:r>
      <w:r w:rsidR="008F35E2">
        <w:t>Feiertage</w:t>
      </w:r>
      <w:r>
        <w:t>n</w:t>
      </w:r>
      <w:r w:rsidR="008F35E2">
        <w:t xml:space="preserve"> am Wochenende</w:t>
      </w:r>
      <w:r>
        <w:t xml:space="preserve"> 1</w:t>
      </w:r>
      <w:r w:rsidR="00C627BA">
        <w:t>5</w:t>
      </w:r>
      <w:r>
        <w:t>0 %</w:t>
      </w:r>
    </w:p>
    <w:p w14:paraId="1028753E" w14:textId="77777777" w:rsidR="004E37D9" w:rsidRPr="008218E1" w:rsidRDefault="004E37D9"/>
    <w:p w14:paraId="7B267F5F" w14:textId="77777777" w:rsidR="008F35E2" w:rsidRDefault="008F35E2">
      <w:pPr>
        <w:pStyle w:val="Listenabsatz"/>
        <w:numPr>
          <w:ilvl w:val="0"/>
          <w:numId w:val="1"/>
        </w:numPr>
      </w:pPr>
      <w:r>
        <w:t>wenn weniger als vier Tage vor Arbeitsbeginn eine Änderung des Dienstplans, welche die Mitarbeiterin/der Mitarbeiter nicht zu vertreten hat, erfolgt</w:t>
      </w:r>
    </w:p>
    <w:p w14:paraId="0EF15407" w14:textId="77777777" w:rsidR="008F35E2" w:rsidRDefault="008F35E2">
      <w:pPr>
        <w:pStyle w:val="Listenabsatz"/>
        <w:numPr>
          <w:ilvl w:val="1"/>
          <w:numId w:val="1"/>
        </w:numPr>
      </w:pPr>
      <w:r>
        <w:t>1</w:t>
      </w:r>
      <w:r w:rsidR="00C627BA">
        <w:t>5</w:t>
      </w:r>
      <w:r>
        <w:t>0 %</w:t>
      </w:r>
    </w:p>
    <w:p w14:paraId="5B315567" w14:textId="77777777" w:rsidR="008F35E2" w:rsidRDefault="007F5973">
      <w:pPr>
        <w:pStyle w:val="Listenabsatz"/>
        <w:numPr>
          <w:ilvl w:val="1"/>
          <w:numId w:val="1"/>
        </w:numPr>
      </w:pPr>
      <w:r>
        <w:t xml:space="preserve">am </w:t>
      </w:r>
      <w:r w:rsidR="008F35E2">
        <w:t>Wochenende (Freitag ab 21 Uhr bis Montag 6 Uhr)</w:t>
      </w:r>
      <w:r>
        <w:t xml:space="preserve"> </w:t>
      </w:r>
      <w:r w:rsidR="00C627BA">
        <w:t>200</w:t>
      </w:r>
      <w:r>
        <w:t xml:space="preserve"> %</w:t>
      </w:r>
    </w:p>
    <w:p w14:paraId="0EA6277D" w14:textId="77777777" w:rsidR="008F35E2" w:rsidRDefault="007F5973">
      <w:pPr>
        <w:pStyle w:val="Listenabsatz"/>
        <w:numPr>
          <w:ilvl w:val="1"/>
          <w:numId w:val="1"/>
        </w:numPr>
      </w:pPr>
      <w:r>
        <w:t xml:space="preserve">an </w:t>
      </w:r>
      <w:r w:rsidR="008F35E2">
        <w:t>Wochenfeiertage</w:t>
      </w:r>
      <w:r>
        <w:t xml:space="preserve">n </w:t>
      </w:r>
      <w:r w:rsidR="00C627BA">
        <w:t>20</w:t>
      </w:r>
      <w:r>
        <w:t>0 %</w:t>
      </w:r>
    </w:p>
    <w:p w14:paraId="17459C70" w14:textId="77777777" w:rsidR="008F35E2" w:rsidRPr="008218E1" w:rsidRDefault="007F5973">
      <w:pPr>
        <w:pStyle w:val="Listenabsatz"/>
        <w:numPr>
          <w:ilvl w:val="1"/>
          <w:numId w:val="1"/>
        </w:numPr>
      </w:pPr>
      <w:r>
        <w:t xml:space="preserve">an </w:t>
      </w:r>
      <w:r w:rsidR="008F35E2">
        <w:t>Feiertage</w:t>
      </w:r>
      <w:r>
        <w:t xml:space="preserve">n am Wochenende </w:t>
      </w:r>
      <w:r w:rsidR="00C627BA">
        <w:t>20</w:t>
      </w:r>
      <w:r>
        <w:t>0 %</w:t>
      </w:r>
    </w:p>
    <w:p w14:paraId="648F26BD" w14:textId="77777777" w:rsidR="008F35E2" w:rsidRDefault="008F35E2">
      <w:pPr>
        <w:pStyle w:val="Listenabsatz"/>
        <w:ind w:left="1440"/>
      </w:pPr>
    </w:p>
    <w:p w14:paraId="62CE0763" w14:textId="77777777" w:rsidR="008F35E2" w:rsidRDefault="008F35E2" w:rsidP="00825053">
      <w:r>
        <w:t>des auf eine Stunde anfallenden Anteils des individuellen Tabellenentgelts je Stunde.</w:t>
      </w:r>
    </w:p>
    <w:p w14:paraId="14FE3BEE" w14:textId="77777777" w:rsidR="00992DB0" w:rsidRPr="0061554F" w:rsidRDefault="00992DB0" w:rsidP="00825053">
      <w:pPr>
        <w:rPr>
          <w:b/>
        </w:rPr>
      </w:pPr>
      <w:r w:rsidRPr="0061554F">
        <w:rPr>
          <w:b/>
        </w:rPr>
        <w:t>§ 5 Zeitzuschläge für das zweite und jedes weitere Einspringen</w:t>
      </w:r>
    </w:p>
    <w:p w14:paraId="784DE091" w14:textId="17EC4957" w:rsidR="00992DB0" w:rsidRDefault="0085332E" w:rsidP="00825053">
      <w:r>
        <w:rPr>
          <w:vertAlign w:val="superscript"/>
        </w:rPr>
        <w:t>1</w:t>
      </w:r>
      <w:r w:rsidR="00992DB0" w:rsidRPr="00AC4BE8">
        <w:t xml:space="preserve">In den Fällen </w:t>
      </w:r>
      <w:r w:rsidR="00992DB0">
        <w:t xml:space="preserve">des § 4 a) und b) </w:t>
      </w:r>
      <w:r w:rsidR="00992DB0" w:rsidRPr="00AC4BE8">
        <w:t>hat der Mitarbeiter ab der insgesamt zweiten</w:t>
      </w:r>
      <w:r w:rsidR="0076673A">
        <w:t xml:space="preserve"> </w:t>
      </w:r>
      <w:r w:rsidR="00FE7A64">
        <w:t>vom</w:t>
      </w:r>
      <w:r w:rsidR="007D1441">
        <w:t xml:space="preserve"> DG </w:t>
      </w:r>
      <w:r w:rsidR="00FE7A64">
        <w:t>veranlassten</w:t>
      </w:r>
      <w:r w:rsidR="00992DB0">
        <w:t xml:space="preserve"> Änderung des Dienstplans innerhalb eines Dienstplanturnus darüber hinaus Anspruch auf einen weiteren Zeitzuschlag in Höhe von 100% je zusätzlich zu leistender Stunde.</w:t>
      </w:r>
    </w:p>
    <w:p w14:paraId="5EAD02F9" w14:textId="77777777" w:rsidR="00CA7241" w:rsidRDefault="00CA7241" w:rsidP="00825053">
      <w:pPr>
        <w:rPr>
          <w:b/>
        </w:rPr>
      </w:pPr>
      <w:r>
        <w:rPr>
          <w:b/>
        </w:rPr>
        <w:lastRenderedPageBreak/>
        <w:t>§ 6 Zeitausgleich</w:t>
      </w:r>
    </w:p>
    <w:p w14:paraId="2E5804AB" w14:textId="60169571" w:rsidR="00CA7241" w:rsidRDefault="00CA7241" w:rsidP="00825053">
      <w:r>
        <w:rPr>
          <w:vertAlign w:val="superscript"/>
        </w:rPr>
        <w:t>1</w:t>
      </w:r>
      <w:r w:rsidRPr="00CA7241">
        <w:t xml:space="preserve">Zum Zwecke des Gesundheitsschutzes erhält der Mitarbeiter für jedes </w:t>
      </w:r>
      <w:r>
        <w:t>Einspringen</w:t>
      </w:r>
      <w:r w:rsidRPr="00CA7241">
        <w:t xml:space="preserve"> oder Einteilen zur Arbeit im geplanten Frei eine</w:t>
      </w:r>
      <w:r w:rsidR="00CF473B">
        <w:t>n Freizeitausgleich von 100 %.</w:t>
      </w:r>
    </w:p>
    <w:p w14:paraId="01B7D16B" w14:textId="2D40D567" w:rsidR="00684A6E" w:rsidRPr="00684A6E" w:rsidRDefault="00CA7241" w:rsidP="00684A6E">
      <w:pPr>
        <w:rPr>
          <w:rFonts w:ascii="Calibri" w:eastAsia="Calibri" w:hAnsi="Calibri" w:cs="Times New Roman"/>
        </w:rPr>
      </w:pPr>
      <w:r w:rsidRPr="00847427">
        <w:rPr>
          <w:vertAlign w:val="superscript"/>
        </w:rPr>
        <w:t>2</w:t>
      </w:r>
      <w:r w:rsidRPr="00847427">
        <w:t xml:space="preserve">Dieser muss durch Freistellung an einem dienstplanmäßig geplanten Arbeitstag bis spätestens zum Ende des </w:t>
      </w:r>
      <w:r w:rsidR="00847427" w:rsidRPr="00825053">
        <w:t>über</w:t>
      </w:r>
      <w:r w:rsidRPr="00847427">
        <w:t xml:space="preserve">nächsten </w:t>
      </w:r>
      <w:r w:rsidR="00847427" w:rsidRPr="00847427">
        <w:t>zu planenden Dienstplanturnus</w:t>
      </w:r>
      <w:r w:rsidR="00847427" w:rsidRPr="00825053" w:rsidDel="00847427">
        <w:t xml:space="preserve"> </w:t>
      </w:r>
      <w:r w:rsidRPr="00847427">
        <w:t xml:space="preserve">erfolgen. </w:t>
      </w:r>
      <w:r w:rsidR="00847427" w:rsidRPr="00847427">
        <w:rPr>
          <w:vertAlign w:val="superscript"/>
        </w:rPr>
        <w:t>3</w:t>
      </w:r>
      <w:commentRangeStart w:id="1"/>
      <w:r w:rsidR="00847427" w:rsidRPr="00847427">
        <w:t xml:space="preserve">Die wirksame Gewährung von Freizeitausgleich nach Satz 1 setzt voraus, dass dieser im Dienstplan ausdrücklich als solcher ausgewiesen und bezeichnet ist. </w:t>
      </w:r>
      <w:commentRangeEnd w:id="1"/>
      <w:r w:rsidR="00847427" w:rsidRPr="00847427">
        <w:rPr>
          <w:rStyle w:val="Kommentarzeichen"/>
        </w:rPr>
        <w:commentReference w:id="1"/>
      </w:r>
      <w:r w:rsidR="00847427">
        <w:rPr>
          <w:vertAlign w:val="superscript"/>
        </w:rPr>
        <w:t>4</w:t>
      </w:r>
      <w:commentRangeStart w:id="2"/>
      <w:r w:rsidR="00684A6E" w:rsidRPr="00847427">
        <w:rPr>
          <w:rFonts w:ascii="Calibri" w:eastAsia="Calibri" w:hAnsi="Calibri" w:cs="Times New Roman"/>
        </w:rPr>
        <w:t xml:space="preserve">Erfolgt die Abgeltung in Freizeit nicht vollständig bis spätestens zum Ende </w:t>
      </w:r>
      <w:r w:rsidR="00847427" w:rsidRPr="00825053">
        <w:t xml:space="preserve">des übernächsten </w:t>
      </w:r>
      <w:r w:rsidR="00847427" w:rsidRPr="00847427">
        <w:t>zu planenden Dienstplanturnus</w:t>
      </w:r>
      <w:r w:rsidR="00684A6E" w:rsidRPr="00847427">
        <w:rPr>
          <w:rFonts w:ascii="Calibri" w:eastAsia="Calibri" w:hAnsi="Calibri" w:cs="Times New Roman"/>
        </w:rPr>
        <w:t xml:space="preserve">, erhöht sich der Zeitzuschlag auf 150% und ist zum Ende des </w:t>
      </w:r>
      <w:r w:rsidR="00847427" w:rsidRPr="00847427">
        <w:rPr>
          <w:rFonts w:ascii="Calibri" w:eastAsia="Calibri" w:hAnsi="Calibri" w:cs="Times New Roman"/>
        </w:rPr>
        <w:t xml:space="preserve">darauf </w:t>
      </w:r>
      <w:r w:rsidR="00684A6E" w:rsidRPr="00847427">
        <w:rPr>
          <w:rFonts w:ascii="Calibri" w:eastAsia="Calibri" w:hAnsi="Calibri" w:cs="Times New Roman"/>
        </w:rPr>
        <w:t>folgenden Kalendermonats zur Auszahlung fällig.</w:t>
      </w:r>
      <w:commentRangeEnd w:id="2"/>
      <w:r w:rsidR="00684A6E" w:rsidRPr="00847427">
        <w:rPr>
          <w:rStyle w:val="Kommentarzeichen"/>
        </w:rPr>
        <w:commentReference w:id="2"/>
      </w:r>
    </w:p>
    <w:p w14:paraId="51DBCB25" w14:textId="77777777" w:rsidR="00CA7241" w:rsidRDefault="00CA7241" w:rsidP="00825053">
      <w:pPr>
        <w:rPr>
          <w:b/>
        </w:rPr>
      </w:pPr>
    </w:p>
    <w:p w14:paraId="780D2344" w14:textId="77777777" w:rsidR="00992DB0" w:rsidRPr="0061554F" w:rsidRDefault="00BF5057" w:rsidP="00825053">
      <w:pPr>
        <w:rPr>
          <w:b/>
        </w:rPr>
      </w:pPr>
      <w:r>
        <w:rPr>
          <w:b/>
        </w:rPr>
        <w:t>§ 7</w:t>
      </w:r>
      <w:r w:rsidR="00992DB0" w:rsidRPr="0061554F">
        <w:rPr>
          <w:b/>
        </w:rPr>
        <w:t xml:space="preserve"> Ansprüche des Mitarbeiters aus der Dienstplanung</w:t>
      </w:r>
    </w:p>
    <w:p w14:paraId="1B1335D4" w14:textId="2F6F99C5" w:rsidR="00992DB0" w:rsidRPr="0061554F" w:rsidRDefault="001B05E9" w:rsidP="00825053">
      <w:pPr>
        <w:rPr>
          <w:b/>
        </w:rPr>
      </w:pPr>
      <w:r>
        <w:rPr>
          <w:vertAlign w:val="superscript"/>
        </w:rPr>
        <w:t>1</w:t>
      </w:r>
      <w:r w:rsidRPr="001B05E9">
        <w:t xml:space="preserve">Ansprüche, die dem Mitarbeiter entstanden wären, wenn er entsprechend der ursprünglichen Dienstplanung gearbeitet hätte, </w:t>
      </w:r>
      <w:r>
        <w:t>bleib</w:t>
      </w:r>
      <w:r w:rsidRPr="001B05E9">
        <w:t xml:space="preserve">en durch das </w:t>
      </w:r>
      <w:r>
        <w:t>Einspring</w:t>
      </w:r>
      <w:r w:rsidRPr="001B05E9">
        <w:t xml:space="preserve">en des Mitarbeiters aus dem Frei oder Einteilen zur Arbeit im geplanten Frei bei genehmigtem Dienstplan </w:t>
      </w:r>
      <w:r>
        <w:t>erhalt</w:t>
      </w:r>
      <w:r w:rsidRPr="001B05E9">
        <w:t>en. (geplante Dienste und Zulagen).</w:t>
      </w:r>
      <w:r w:rsidR="00992DB0" w:rsidRPr="001B05E9">
        <w:t xml:space="preserve"> </w:t>
      </w:r>
      <w:r w:rsidR="0085332E">
        <w:rPr>
          <w:vertAlign w:val="superscript"/>
        </w:rPr>
        <w:t>2</w:t>
      </w:r>
      <w:r w:rsidR="00992DB0" w:rsidRPr="00992DB0">
        <w:t xml:space="preserve">Dies gilt </w:t>
      </w:r>
      <w:r w:rsidR="00992DB0" w:rsidRPr="00992DB0">
        <w:rPr>
          <w:b/>
          <w:bCs/>
        </w:rPr>
        <w:t>insbesondere</w:t>
      </w:r>
      <w:r w:rsidR="00992DB0" w:rsidRPr="00992DB0">
        <w:t xml:space="preserve"> für Ansprüche auf Wechselschicht-/Schichtzulage und Zusatzurlaub.</w:t>
      </w:r>
      <w:r w:rsidR="007D1441">
        <w:br/>
      </w:r>
      <w:r w:rsidR="007D1441">
        <w:br/>
      </w:r>
      <w:r w:rsidR="00992DB0" w:rsidRPr="0061554F">
        <w:rPr>
          <w:b/>
        </w:rPr>
        <w:t xml:space="preserve">§ </w:t>
      </w:r>
      <w:r w:rsidR="00BF5057">
        <w:rPr>
          <w:b/>
        </w:rPr>
        <w:t>8</w:t>
      </w:r>
      <w:r w:rsidR="00992DB0" w:rsidRPr="0061554F">
        <w:rPr>
          <w:b/>
        </w:rPr>
        <w:t xml:space="preserve"> Inanspruchnahme im Rufdienst</w:t>
      </w:r>
    </w:p>
    <w:p w14:paraId="4B04D8E3" w14:textId="77777777" w:rsidR="00992DB0" w:rsidRDefault="0085332E" w:rsidP="00825053">
      <w:r>
        <w:rPr>
          <w:vertAlign w:val="superscript"/>
        </w:rPr>
        <w:t>1</w:t>
      </w:r>
      <w:r w:rsidR="00992DB0" w:rsidRPr="00992DB0">
        <w:t xml:space="preserve">Die Zuschläge nach </w:t>
      </w:r>
      <w:r w:rsidR="00992DB0">
        <w:t xml:space="preserve">§ 4 </w:t>
      </w:r>
      <w:r w:rsidR="00992DB0" w:rsidRPr="00992DB0">
        <w:t>a) und b) werden auch für die Zeit der innerhalb der Rufbereitschaft tatsächlich geleisteten Arbeit einschließlich einer etwaigen Wegezeit gezahlt.</w:t>
      </w:r>
    </w:p>
    <w:p w14:paraId="14015243" w14:textId="77777777" w:rsidR="00860DF1" w:rsidRPr="00860DF1" w:rsidRDefault="00860DF1" w:rsidP="00825053">
      <w:pPr>
        <w:rPr>
          <w:b/>
        </w:rPr>
      </w:pPr>
      <w:r w:rsidRPr="00860DF1">
        <w:rPr>
          <w:b/>
        </w:rPr>
        <w:t xml:space="preserve">§ </w:t>
      </w:r>
      <w:r w:rsidR="00BF5057">
        <w:rPr>
          <w:b/>
        </w:rPr>
        <w:t>9</w:t>
      </w:r>
      <w:r w:rsidRPr="00860DF1">
        <w:rPr>
          <w:b/>
        </w:rPr>
        <w:t xml:space="preserve"> Genderklausel</w:t>
      </w:r>
    </w:p>
    <w:p w14:paraId="11BD86FF" w14:textId="77777777" w:rsidR="00860DF1" w:rsidRDefault="0085332E" w:rsidP="00825053">
      <w:r>
        <w:rPr>
          <w:vertAlign w:val="superscript"/>
        </w:rPr>
        <w:t>1</w:t>
      </w:r>
      <w:r w:rsidR="00860DF1" w:rsidRPr="00860DF1">
        <w:t xml:space="preserve">Zur besseren Lesbarkeit wird das generische Maskulinum oder Femininum verwendet, Substantive gelten als sexusunmarkiert. </w:t>
      </w:r>
      <w:r>
        <w:rPr>
          <w:vertAlign w:val="superscript"/>
        </w:rPr>
        <w:t>2</w:t>
      </w:r>
      <w:r w:rsidR="00860DF1" w:rsidRPr="00860DF1">
        <w:t>Die verwendeten Personenbezeichnungen beziehen sich – sofern nicht anders kenntlich gemacht – auf alle Geschlechter.</w:t>
      </w:r>
    </w:p>
    <w:p w14:paraId="2EF09006" w14:textId="77777777" w:rsidR="006A41C8" w:rsidRPr="00453A90" w:rsidRDefault="006A41C8" w:rsidP="00825053">
      <w:pPr>
        <w:rPr>
          <w:b/>
        </w:rPr>
      </w:pPr>
      <w:r w:rsidRPr="00453A90">
        <w:rPr>
          <w:b/>
        </w:rPr>
        <w:t xml:space="preserve">§ </w:t>
      </w:r>
      <w:r w:rsidR="00BF5057">
        <w:rPr>
          <w:b/>
        </w:rPr>
        <w:t>10</w:t>
      </w:r>
      <w:r w:rsidRPr="00453A90">
        <w:rPr>
          <w:b/>
        </w:rPr>
        <w:t xml:space="preserve"> Übergangs- und Schlußbestimmungen</w:t>
      </w:r>
    </w:p>
    <w:p w14:paraId="5DD1F02C" w14:textId="77777777" w:rsidR="006A41C8" w:rsidRDefault="0085332E" w:rsidP="00825053">
      <w:r>
        <w:rPr>
          <w:vertAlign w:val="superscript"/>
        </w:rPr>
        <w:t>1</w:t>
      </w:r>
      <w:r w:rsidR="006A41C8">
        <w:t>Diese Dienstvereinbarung tritt am xx.xx.xxxx in Kraft.</w:t>
      </w:r>
    </w:p>
    <w:p w14:paraId="59F7B873" w14:textId="77777777" w:rsidR="006A41C8" w:rsidRDefault="0085332E" w:rsidP="00825053">
      <w:r>
        <w:rPr>
          <w:vertAlign w:val="superscript"/>
        </w:rPr>
        <w:t>2</w:t>
      </w:r>
      <w:r w:rsidR="006A41C8">
        <w:t xml:space="preserve">Sie kann mit einer Frist von drei Monaten zum Monatsende von beiden Seiten gekündigt werden. </w:t>
      </w:r>
      <w:r>
        <w:rPr>
          <w:vertAlign w:val="superscript"/>
        </w:rPr>
        <w:t>3</w:t>
      </w:r>
      <w:r w:rsidR="006A41C8">
        <w:t>Sie wirkt bis zum Abschluß einer neuen Dienstvereinbarung nach.</w:t>
      </w:r>
    </w:p>
    <w:p w14:paraId="0F6C0645" w14:textId="77777777" w:rsidR="00477B9C" w:rsidRDefault="0085332E" w:rsidP="00825053">
      <w:r>
        <w:rPr>
          <w:vertAlign w:val="superscript"/>
        </w:rPr>
        <w:t>4</w:t>
      </w:r>
      <w:r w:rsidR="00477B9C" w:rsidRPr="00477B9C">
        <w:t>Die Regelungen der Mitarbeitervertretungsordnung (MAVO) sind zu beachten.</w:t>
      </w:r>
    </w:p>
    <w:p w14:paraId="3E394D86" w14:textId="77777777" w:rsidR="006A41C8" w:rsidRPr="00992DB0" w:rsidRDefault="0085332E" w:rsidP="00825053">
      <w:r>
        <w:rPr>
          <w:vertAlign w:val="superscript"/>
        </w:rPr>
        <w:t>5</w:t>
      </w:r>
      <w:r w:rsidR="006A41C8">
        <w:t>Die R</w:t>
      </w:r>
      <w:r w:rsidR="00477B9C">
        <w:t>echte der Mitarbeitervertretung (MAV), insbesondere nach § 36 (1) Nr. 1 MAVO, bleiben unberührt.</w:t>
      </w:r>
    </w:p>
    <w:p w14:paraId="375FD9F5" w14:textId="77777777" w:rsidR="00992DB0" w:rsidRDefault="00992DB0" w:rsidP="00825053"/>
    <w:p w14:paraId="73396265" w14:textId="77777777" w:rsidR="008F35E2" w:rsidRDefault="008F35E2" w:rsidP="007D1441"/>
    <w:p w14:paraId="7B80A716" w14:textId="77777777" w:rsidR="008F35E2" w:rsidRDefault="008F35E2"/>
    <w:p w14:paraId="1196F480" w14:textId="77777777" w:rsidR="00411A7A" w:rsidRDefault="00411A7A"/>
    <w:sectPr w:rsidR="00411A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Mitarbeitervertretung" w:date="2024-07-03T10:51:00Z" w:initials="M">
    <w:p w14:paraId="04F36715" w14:textId="77777777" w:rsidR="00847427" w:rsidRDefault="00847427" w:rsidP="00847427">
      <w:pPr>
        <w:pStyle w:val="Kommentartext"/>
      </w:pPr>
      <w:r>
        <w:rPr>
          <w:rStyle w:val="Kommentarzeichen"/>
        </w:rPr>
        <w:annotationRef/>
      </w:r>
      <w:r>
        <w:t>Eine weitere Version</w:t>
      </w:r>
    </w:p>
  </w:comment>
  <w:comment w:id="2" w:author="Mitarbeitervertretung" w:date="2024-07-03T10:51:00Z" w:initials="M">
    <w:p w14:paraId="4D06F0B8" w14:textId="77777777" w:rsidR="00684A6E" w:rsidRDefault="00684A6E">
      <w:pPr>
        <w:pStyle w:val="Kommentartext"/>
      </w:pPr>
      <w:r>
        <w:rPr>
          <w:rStyle w:val="Kommentarzeichen"/>
        </w:rPr>
        <w:annotationRef/>
      </w:r>
      <w:r>
        <w:t>Eine Möglichkeit für Strafzahlung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F36715" w15:done="0"/>
  <w15:commentEx w15:paraId="4D06F0B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921CD"/>
    <w:multiLevelType w:val="hybridMultilevel"/>
    <w:tmpl w:val="07A254E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tarbeitervertretung">
    <w15:presenceInfo w15:providerId="None" w15:userId="Mitarbeitervertret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7A"/>
    <w:rsid w:val="000566B3"/>
    <w:rsid w:val="00167022"/>
    <w:rsid w:val="001B05E9"/>
    <w:rsid w:val="001B6B7A"/>
    <w:rsid w:val="00213B54"/>
    <w:rsid w:val="00243F64"/>
    <w:rsid w:val="002C7005"/>
    <w:rsid w:val="003830D9"/>
    <w:rsid w:val="00411A7A"/>
    <w:rsid w:val="00453A90"/>
    <w:rsid w:val="0046241C"/>
    <w:rsid w:val="00477B9C"/>
    <w:rsid w:val="004D7984"/>
    <w:rsid w:val="004E37D9"/>
    <w:rsid w:val="004F0C97"/>
    <w:rsid w:val="0054412F"/>
    <w:rsid w:val="00565986"/>
    <w:rsid w:val="0061554F"/>
    <w:rsid w:val="00684A6E"/>
    <w:rsid w:val="006A41C8"/>
    <w:rsid w:val="006E7309"/>
    <w:rsid w:val="006F5133"/>
    <w:rsid w:val="007431F7"/>
    <w:rsid w:val="0076673A"/>
    <w:rsid w:val="007A2C6A"/>
    <w:rsid w:val="007C0641"/>
    <w:rsid w:val="007D1441"/>
    <w:rsid w:val="007F5973"/>
    <w:rsid w:val="00825053"/>
    <w:rsid w:val="00847427"/>
    <w:rsid w:val="0085332E"/>
    <w:rsid w:val="00860DF1"/>
    <w:rsid w:val="008B5AE9"/>
    <w:rsid w:val="008F35E2"/>
    <w:rsid w:val="00992DB0"/>
    <w:rsid w:val="009D06C1"/>
    <w:rsid w:val="009E2541"/>
    <w:rsid w:val="00AE763C"/>
    <w:rsid w:val="00B03D69"/>
    <w:rsid w:val="00B17902"/>
    <w:rsid w:val="00B37A04"/>
    <w:rsid w:val="00BF5057"/>
    <w:rsid w:val="00C56DE1"/>
    <w:rsid w:val="00C627BA"/>
    <w:rsid w:val="00CA7241"/>
    <w:rsid w:val="00CF473B"/>
    <w:rsid w:val="00DD4813"/>
    <w:rsid w:val="00FE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97201"/>
  <w15:chartTrackingRefBased/>
  <w15:docId w15:val="{3D896354-2EFE-4206-B627-0E40E00F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F35E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3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37D9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84A6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84A6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84A6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84A6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84A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7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Vinzenzkrankenhaus Hannover GmbH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Mitarbeitervertretung</dc:creator>
  <cp:keywords/>
  <dc:description/>
  <cp:lastModifiedBy>Mitarbeitervertretung</cp:lastModifiedBy>
  <cp:revision>3</cp:revision>
  <cp:lastPrinted>2024-06-28T08:57:00Z</cp:lastPrinted>
  <dcterms:created xsi:type="dcterms:W3CDTF">2024-09-13T13:18:00Z</dcterms:created>
  <dcterms:modified xsi:type="dcterms:W3CDTF">2024-09-13T13:19:00Z</dcterms:modified>
</cp:coreProperties>
</file>